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CB015" w14:textId="4DC476B7" w:rsidR="007C3CBD" w:rsidRDefault="00CA0DBA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Arial Unicode MS" w:hAnsi="Times New Roman"/>
          <w:lang w:eastAsia="en-GB"/>
        </w:rPr>
      </w:pPr>
      <w:bookmarkStart w:id="0" w:name="_Toc468217674"/>
      <w:bookmarkStart w:id="1" w:name="_Toc468892640"/>
      <w:bookmarkStart w:id="2" w:name="_Toc473692377"/>
      <w:bookmarkStart w:id="3" w:name="_Toc476857558"/>
      <w:bookmarkStart w:id="4" w:name="_Toc350977292"/>
      <w:bookmarkStart w:id="5" w:name="_Toc481181863"/>
      <w:bookmarkStart w:id="6" w:name="_Toc477970523"/>
      <w:r>
        <w:rPr>
          <w:rFonts w:ascii="Times New Roman" w:eastAsia="Times New Roman" w:hAnsi="Times New Roman"/>
          <w:b/>
        </w:rPr>
        <w:t>ПРИЛОЖЕНИЕ 1</w:t>
      </w:r>
      <w:r w:rsidR="007C3CBD">
        <w:rPr>
          <w:rFonts w:ascii="Times New Roman" w:eastAsia="Times New Roman" w:hAnsi="Times New Roman"/>
          <w:b/>
        </w:rPr>
        <w:t>4</w:t>
      </w:r>
      <w:r>
        <w:rPr>
          <w:rFonts w:ascii="Times New Roman" w:eastAsia="Times New Roman" w:hAnsi="Times New Roman"/>
        </w:rPr>
        <w:br/>
      </w:r>
      <w:r w:rsidRPr="00A11D8B">
        <w:rPr>
          <w:rFonts w:ascii="Times New Roman" w:eastAsia="Times New Roman" w:hAnsi="Times New Roman"/>
        </w:rPr>
        <w:t xml:space="preserve">к концессионному соглашению в отношении </w:t>
      </w:r>
      <w:r w:rsidR="00C528D1">
        <w:rPr>
          <w:rFonts w:ascii="Times New Roman" w:eastAsia="Arial Unicode MS" w:hAnsi="Times New Roman"/>
          <w:lang w:eastAsia="en-GB"/>
        </w:rPr>
        <w:t xml:space="preserve">объектов </w:t>
      </w:r>
      <w:r w:rsidR="005A25DF" w:rsidRPr="005A25DF">
        <w:rPr>
          <w:rFonts w:ascii="Times New Roman" w:eastAsia="Arial Unicode MS" w:hAnsi="Times New Roman"/>
          <w:lang w:eastAsia="en-GB"/>
        </w:rPr>
        <w:t>систем теплоснабжения, централизованного горячего водоснабжения, холодного водоснабжения и водоотведения городского округа Кинель Самарской области</w:t>
      </w:r>
      <w:bookmarkStart w:id="7" w:name="_GoBack"/>
      <w:bookmarkEnd w:id="7"/>
    </w:p>
    <w:p w14:paraId="22B62F8F" w14:textId="1D6B6F61" w:rsidR="00C528D1" w:rsidRDefault="00C528D1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Times New Roman" w:hAnsi="Times New Roman"/>
        </w:rPr>
      </w:pPr>
      <w:r w:rsidRPr="00AC7783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№ ___ от _________ г.</w:t>
      </w:r>
    </w:p>
    <w:p w14:paraId="6C4F4E90" w14:textId="492271B6" w:rsidR="008C26DD" w:rsidRDefault="008C26DD" w:rsidP="008C26DD">
      <w:pPr>
        <w:pStyle w:val="a8"/>
        <w:spacing w:line="240" w:lineRule="auto"/>
      </w:pPr>
      <w:bookmarkStart w:id="8" w:name="_Toc485514176"/>
      <w:bookmarkStart w:id="9" w:name="_Toc484822153"/>
      <w:r>
        <w:t>Требования к Банковской гарантии</w:t>
      </w:r>
      <w:bookmarkEnd w:id="8"/>
      <w:bookmarkEnd w:id="9"/>
    </w:p>
    <w:p w14:paraId="497137BF" w14:textId="77777777" w:rsidR="00C74737" w:rsidRDefault="00C74737" w:rsidP="008C26DD">
      <w:pPr>
        <w:pStyle w:val="a8"/>
        <w:spacing w:line="240" w:lineRule="auto"/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704"/>
        <w:gridCol w:w="2267"/>
        <w:gridCol w:w="6367"/>
      </w:tblGrid>
      <w:tr w:rsidR="008C26DD" w:rsidRPr="007C0A38" w14:paraId="305412F6" w14:textId="77777777" w:rsidTr="00F01305">
        <w:tc>
          <w:tcPr>
            <w:tcW w:w="704" w:type="dxa"/>
          </w:tcPr>
          <w:p w14:paraId="3985D9CE" w14:textId="77777777" w:rsidR="008C26DD" w:rsidRPr="006D32E1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5F019877" w14:textId="77777777"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4C20A7">
              <w:rPr>
                <w:rFonts w:ascii="Times New Roman" w:hAnsi="Times New Roman"/>
                <w:sz w:val="24"/>
              </w:rPr>
              <w:t>Вид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Банковской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гарантии</w:t>
            </w:r>
            <w:proofErr w:type="spellEnd"/>
          </w:p>
        </w:tc>
        <w:tc>
          <w:tcPr>
            <w:tcW w:w="6372" w:type="dxa"/>
          </w:tcPr>
          <w:p w14:paraId="5B42E4E5" w14:textId="77777777"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Безотзывная и непередаваемая Банковская гарантия</w:t>
            </w:r>
          </w:p>
        </w:tc>
      </w:tr>
      <w:tr w:rsidR="008C26DD" w:rsidRPr="007C0A38" w14:paraId="2A0BD4B3" w14:textId="77777777" w:rsidTr="00F01305">
        <w:tc>
          <w:tcPr>
            <w:tcW w:w="704" w:type="dxa"/>
          </w:tcPr>
          <w:p w14:paraId="2468452E" w14:textId="77777777" w:rsidR="008C26DD" w:rsidRPr="00F85504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4F32B912" w14:textId="77777777"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4C20A7">
              <w:rPr>
                <w:rFonts w:ascii="Times New Roman" w:hAnsi="Times New Roman"/>
                <w:sz w:val="24"/>
              </w:rPr>
              <w:t>Требования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 к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гаранту</w:t>
            </w:r>
            <w:proofErr w:type="spellEnd"/>
          </w:p>
        </w:tc>
        <w:tc>
          <w:tcPr>
            <w:tcW w:w="6372" w:type="dxa"/>
          </w:tcPr>
          <w:p w14:paraId="67F2CCB1" w14:textId="77777777" w:rsidR="008C26DD" w:rsidRPr="004C20A7" w:rsidRDefault="008C26DD" w:rsidP="00F01305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Банковская гарантия должна быть выдана одной из следующих организаций:</w:t>
            </w:r>
          </w:p>
          <w:p w14:paraId="68A38461" w14:textId="77777777"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 w:line="259" w:lineRule="auto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международная финансовая организация, созданная в соответствии с международными договорами, участником которых является Российская Федерация;</w:t>
            </w:r>
          </w:p>
          <w:p w14:paraId="641A7486" w14:textId="77777777"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 w:line="259" w:lineRule="auto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международная финансовая организация, с которой Российская Федерация заключила международный договор;</w:t>
            </w:r>
          </w:p>
          <w:p w14:paraId="65F5191C" w14:textId="77777777"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 w:line="259" w:lineRule="auto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государственная корпорация «Банк развития и внешнеэкономической деятельности (Внешэкономбанк)»;</w:t>
            </w:r>
          </w:p>
          <w:p w14:paraId="06D13E9D" w14:textId="77777777"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 w:line="259" w:lineRule="auto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российская кредитная организация, соответствующая следующим требованиям:</w:t>
            </w:r>
          </w:p>
          <w:p w14:paraId="245BAEAE" w14:textId="77777777" w:rsidR="008C26DD" w:rsidRPr="004C20A7" w:rsidRDefault="008C26DD" w:rsidP="008C26DD">
            <w:pPr>
              <w:pStyle w:val="a1"/>
              <w:numPr>
                <w:ilvl w:val="0"/>
                <w:numId w:val="6"/>
              </w:numPr>
              <w:spacing w:after="120" w:line="259" w:lineRule="auto"/>
              <w:ind w:left="458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наличие генеральной лицензии Центрального банка Российской Федерации на осуществление банковских операций или соответствующей лицензии, выданной уполномоченными органами иностранных государств;</w:t>
            </w:r>
          </w:p>
          <w:p w14:paraId="6C49120A" w14:textId="77777777" w:rsidR="008C26DD" w:rsidRPr="004C20A7" w:rsidRDefault="008C26DD" w:rsidP="008C26DD">
            <w:pPr>
              <w:pStyle w:val="a1"/>
              <w:numPr>
                <w:ilvl w:val="0"/>
                <w:numId w:val="6"/>
              </w:numPr>
              <w:spacing w:after="120" w:line="259" w:lineRule="auto"/>
              <w:ind w:left="458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период деятельности составляет не менее 3 лет с даты государственной регистрации (при слиянии банков указанный срок рассчитывается как в отношении организации, имеющей более раннюю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дату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государственной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регистрации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при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преобразовании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указанный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срок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не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прерывается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>);</w:t>
            </w:r>
          </w:p>
          <w:p w14:paraId="4A45F8C0" w14:textId="77777777" w:rsidR="008C26DD" w:rsidRPr="004C20A7" w:rsidRDefault="008C26DD" w:rsidP="008C26DD">
            <w:pPr>
              <w:pStyle w:val="a1"/>
              <w:numPr>
                <w:ilvl w:val="0"/>
                <w:numId w:val="6"/>
              </w:numPr>
              <w:spacing w:after="120" w:line="259" w:lineRule="auto"/>
              <w:ind w:left="458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наличие у банка безусловно положительного аудиторского заключения за прошедший год, в котором подтверждаются достоверность во всех существенных отношениях финансовой (бухгалтерской) отчетности и соответствие порядка ведения бухгалтерского учета законодательству Российской Федерации.</w:t>
            </w:r>
          </w:p>
          <w:p w14:paraId="7964C5F9" w14:textId="77777777" w:rsidR="008C26DD" w:rsidRPr="004C20A7" w:rsidRDefault="008C26DD" w:rsidP="008C26DD">
            <w:pPr>
              <w:pStyle w:val="a1"/>
              <w:numPr>
                <w:ilvl w:val="0"/>
                <w:numId w:val="6"/>
              </w:numPr>
              <w:spacing w:after="120" w:line="259" w:lineRule="auto"/>
              <w:ind w:left="458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размер собственных средств (капитала) составляет не менее чем 20 млрд. рублей.</w:t>
            </w:r>
          </w:p>
        </w:tc>
      </w:tr>
      <w:tr w:rsidR="008C26DD" w:rsidRPr="007C0A38" w14:paraId="29599E3E" w14:textId="77777777" w:rsidTr="00F01305">
        <w:tc>
          <w:tcPr>
            <w:tcW w:w="704" w:type="dxa"/>
          </w:tcPr>
          <w:p w14:paraId="22EB9897" w14:textId="77777777" w:rsidR="008C26DD" w:rsidRPr="004C20A7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4349B039" w14:textId="77777777"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Срок, на который выдается </w:t>
            </w:r>
            <w:r w:rsidRPr="004C20A7">
              <w:rPr>
                <w:rFonts w:ascii="Times New Roman" w:hAnsi="Times New Roman"/>
                <w:sz w:val="24"/>
                <w:lang w:val="ru-RU"/>
              </w:rPr>
              <w:lastRenderedPageBreak/>
              <w:t>Банковская гарантия</w:t>
            </w:r>
          </w:p>
        </w:tc>
        <w:tc>
          <w:tcPr>
            <w:tcW w:w="6372" w:type="dxa"/>
          </w:tcPr>
          <w:p w14:paraId="7CFA4C9A" w14:textId="2A82125A"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Банковская гарантия выдается сроком на 1 (один) год. Банковская гарантия подлежит ежегодной замене или продлению в течение срока действия Концессионного соглашения с учётом корректировки суммы Банковской </w:t>
            </w:r>
            <w:r w:rsidRPr="004C20A7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гарантии в зависимости от суммы обязательств Концессионера по его расходам на </w:t>
            </w:r>
            <w:r w:rsidR="001D4A10">
              <w:rPr>
                <w:rFonts w:ascii="Times New Roman" w:hAnsi="Times New Roman"/>
                <w:sz w:val="24"/>
                <w:lang w:val="ru-RU"/>
              </w:rPr>
              <w:t xml:space="preserve">реконструкцию (модернизацию) </w:t>
            </w:r>
            <w:r>
              <w:rPr>
                <w:rFonts w:ascii="Times New Roman" w:hAnsi="Times New Roman"/>
                <w:sz w:val="24"/>
                <w:lang w:val="ru-RU" w:eastAsia="ru-RU"/>
              </w:rPr>
              <w:t>о</w:t>
            </w:r>
            <w:r w:rsidRPr="00196ADE">
              <w:rPr>
                <w:rFonts w:ascii="Times New Roman" w:hAnsi="Times New Roman"/>
                <w:sz w:val="24"/>
                <w:lang w:val="ru-RU" w:eastAsia="ru-RU"/>
              </w:rPr>
              <w:t>бъекта</w:t>
            </w: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 соглашения, установленным на соответствующий период действия Банковской гарантии.</w:t>
            </w:r>
          </w:p>
        </w:tc>
      </w:tr>
      <w:tr w:rsidR="008C26DD" w:rsidRPr="007C0A38" w14:paraId="6B331E84" w14:textId="77777777" w:rsidTr="00F01305">
        <w:tc>
          <w:tcPr>
            <w:tcW w:w="704" w:type="dxa"/>
          </w:tcPr>
          <w:p w14:paraId="6E187262" w14:textId="77777777" w:rsidR="008C26DD" w:rsidRPr="00F85504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3AE90CD8" w14:textId="77777777"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Срок исполнения гарантом требования </w:t>
            </w:r>
            <w:proofErr w:type="spellStart"/>
            <w:r w:rsidRPr="004C20A7">
              <w:rPr>
                <w:rFonts w:ascii="Times New Roman" w:hAnsi="Times New Roman"/>
                <w:sz w:val="24"/>
                <w:lang w:val="ru-RU"/>
              </w:rPr>
              <w:t>концедента</w:t>
            </w:r>
            <w:proofErr w:type="spellEnd"/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 об уплате денежной суммы по Банковской гарантии</w:t>
            </w:r>
          </w:p>
        </w:tc>
        <w:tc>
          <w:tcPr>
            <w:tcW w:w="6372" w:type="dxa"/>
          </w:tcPr>
          <w:p w14:paraId="199E7C09" w14:textId="77777777" w:rsidR="008C26DD" w:rsidRPr="004C20A7" w:rsidRDefault="008C26DD" w:rsidP="00F01305">
            <w:pPr>
              <w:spacing w:after="240"/>
              <w:jc w:val="both"/>
              <w:rPr>
                <w:rStyle w:val="2"/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В течение 30 (Тридцати) календарных дней с момента получения гарантом от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Концедента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соответствующего требования </w:t>
            </w: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об уплате денежной суммы по Банковской гарантии, </w:t>
            </w: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содержащее расчёт суммы требования, подписанное уполномоченным лицом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Концедента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, с указанием обстоятельства, наступление которого повлекло выплату по Банковской гарантии,</w:t>
            </w: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приложенных к требованию документов.</w:t>
            </w:r>
          </w:p>
          <w:p w14:paraId="70091645" w14:textId="77777777" w:rsidR="008C26DD" w:rsidRPr="004C20A7" w:rsidRDefault="008C26DD" w:rsidP="00F01305">
            <w:pPr>
              <w:spacing w:after="240"/>
              <w:jc w:val="both"/>
              <w:rPr>
                <w:rStyle w:val="2"/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Гарант вправе отказать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Концеденту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в удовлетворении требования, если имеется одно из нижеследующих оснований:</w:t>
            </w:r>
          </w:p>
          <w:p w14:paraId="27A84D54" w14:textId="77777777"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требование и/или приложенные к нему документы не соответствуют условиям Банковской гарантии:</w:t>
            </w:r>
          </w:p>
          <w:p w14:paraId="7EAB5785" w14:textId="77777777"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требование и/или приложенные к нему документы предоставлены гаранту по окончании срока действия Банковской гарантии:</w:t>
            </w:r>
          </w:p>
          <w:p w14:paraId="0E497883" w14:textId="77777777"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какой-либо из предоставленных гаранту документов является недостоверным;</w:t>
            </w:r>
          </w:p>
          <w:p w14:paraId="33A10259" w14:textId="77777777"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обстоятельство, на случай возникновения которого выдана Банковская гарантия, не возникло;</w:t>
            </w:r>
          </w:p>
          <w:p w14:paraId="42E3D21F" w14:textId="77777777"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обязательство Концессионера, в обеспечение которого предоставлена Банковская гарантия, недействительно;</w:t>
            </w:r>
          </w:p>
          <w:p w14:paraId="3900B52C" w14:textId="77777777"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исполнение по основному обязательству Концессионера принято Бенефициаром без каких-либо возражений.</w:t>
            </w:r>
          </w:p>
        </w:tc>
      </w:tr>
      <w:tr w:rsidR="008C26DD" w:rsidRPr="007C0A38" w14:paraId="43C7E61B" w14:textId="77777777" w:rsidTr="00F01305">
        <w:tc>
          <w:tcPr>
            <w:tcW w:w="704" w:type="dxa"/>
          </w:tcPr>
          <w:p w14:paraId="23269D60" w14:textId="77777777" w:rsidR="008C26DD" w:rsidRPr="00F85504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1B702340" w14:textId="47D8BCB5"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Перечень документов, которые </w:t>
            </w:r>
            <w:proofErr w:type="spellStart"/>
            <w:r w:rsidR="00C30129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C20A7">
              <w:rPr>
                <w:rFonts w:ascii="Times New Roman" w:hAnsi="Times New Roman"/>
                <w:sz w:val="24"/>
                <w:lang w:val="ru-RU"/>
              </w:rPr>
              <w:t>онцедент</w:t>
            </w:r>
            <w:proofErr w:type="spellEnd"/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 направляет гаранту вместе с требованием об уплате денежной суммы по Банковской гарантии</w:t>
            </w:r>
          </w:p>
        </w:tc>
        <w:tc>
          <w:tcPr>
            <w:tcW w:w="6372" w:type="dxa"/>
          </w:tcPr>
          <w:p w14:paraId="38050AA5" w14:textId="77777777"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Вместе с требованием об уплате денежной суммы по Банковской гарантии </w:t>
            </w:r>
            <w:proofErr w:type="spellStart"/>
            <w:r w:rsidRPr="004C20A7">
              <w:rPr>
                <w:rFonts w:ascii="Times New Roman" w:hAnsi="Times New Roman"/>
                <w:sz w:val="24"/>
                <w:lang w:val="ru-RU"/>
              </w:rPr>
              <w:t>концедент</w:t>
            </w:r>
            <w:proofErr w:type="spellEnd"/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 представляет гаранту: </w:t>
            </w:r>
          </w:p>
          <w:p w14:paraId="34761EDA" w14:textId="77777777"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Концессионное соглашение, а также дополнительные соглашения к Концессионному соглашению (включая дополнительные соглашения, которые были заключены со дня выдачи Банковской гарантии по день предъявления требования гаранту), в соответствии с которым Концессионер должен был исполнить обязательство, которое не исполнено им полностью или в части, при условии, что срок исполнения такого обязательства на основании Концессионного соглашения наступил;</w:t>
            </w:r>
          </w:p>
          <w:p w14:paraId="328A72E7" w14:textId="77777777"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документы, подтверждающие исполнение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Концедентом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своих встречных обязательств, исполнение которых является основанием для исполнения обязательств Концессионера по Концессионному соглашению, не исполнены или исполнены не в полном объёме;</w:t>
            </w:r>
          </w:p>
          <w:p w14:paraId="0466DC5E" w14:textId="77777777"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документ, подтверждающий предъявление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Концедентом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требования Концессионеру об </w:t>
            </w: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lastRenderedPageBreak/>
              <w:t>исполнении обязательств по Концессионному соглашению;</w:t>
            </w:r>
          </w:p>
          <w:p w14:paraId="7920AA75" w14:textId="77777777"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документы, подтверждающие исполнение обязательств Концессионером по Концессионному соглашению (при условии исполнения обязательств полностью либо частично);</w:t>
            </w:r>
          </w:p>
          <w:p w14:paraId="75384010" w14:textId="77777777"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расчёт штрафных санкций/неустоек, подлежащих взысканию с Концессионера (если требование предъявляется, в том числе, и об их уплате);</w:t>
            </w: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ab/>
            </w:r>
          </w:p>
          <w:p w14:paraId="09FEA5DE" w14:textId="77777777"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оригинал Банковской гарантии, а в случае предъявления требования в размере частичного неисполнения обязательств по Банковской гарантии – копия Банковской гарантии;</w:t>
            </w:r>
          </w:p>
          <w:p w14:paraId="092DF976" w14:textId="77777777"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доверенность или иной документ, подтверждающий полномочия лица, подписавшего требование, а также осуществившего удостоверение документов, предоставленных гаранту.</w:t>
            </w:r>
          </w:p>
        </w:tc>
      </w:tr>
      <w:tr w:rsidR="008C26DD" w:rsidRPr="007C0A38" w14:paraId="49C6A437" w14:textId="77777777" w:rsidTr="00F01305">
        <w:tc>
          <w:tcPr>
            <w:tcW w:w="704" w:type="dxa"/>
          </w:tcPr>
          <w:p w14:paraId="66D36329" w14:textId="77777777" w:rsidR="008C26DD" w:rsidRPr="00F85504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5690156D" w14:textId="77777777"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Порядок признания обязательств гаранта по Банковской гарантии надлежаще исполненными</w:t>
            </w:r>
          </w:p>
        </w:tc>
        <w:tc>
          <w:tcPr>
            <w:tcW w:w="6372" w:type="dxa"/>
          </w:tcPr>
          <w:p w14:paraId="7092E843" w14:textId="77777777" w:rsidR="008C26DD" w:rsidRPr="004C20A7" w:rsidRDefault="008C26DD" w:rsidP="00F01305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Обязательство гаранта перед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Концедентом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по Банковской гарантии прекращается:</w:t>
            </w:r>
          </w:p>
          <w:p w14:paraId="4EE5413C" w14:textId="77777777" w:rsidR="008C26DD" w:rsidRPr="004C20A7" w:rsidRDefault="008C26DD" w:rsidP="008C26DD">
            <w:pPr>
              <w:pStyle w:val="a1"/>
              <w:numPr>
                <w:ilvl w:val="0"/>
                <w:numId w:val="8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уплатой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Концеденту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суммы гарантии;</w:t>
            </w:r>
          </w:p>
          <w:p w14:paraId="4C046E0B" w14:textId="77777777" w:rsidR="008C26DD" w:rsidRPr="004C20A7" w:rsidRDefault="008C26DD" w:rsidP="008C26DD">
            <w:pPr>
              <w:pStyle w:val="a1"/>
              <w:numPr>
                <w:ilvl w:val="0"/>
                <w:numId w:val="8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окончанием срока гарантии, на который она выдана;</w:t>
            </w:r>
          </w:p>
          <w:p w14:paraId="60FE6E44" w14:textId="77777777" w:rsidR="008C26DD" w:rsidRPr="004C20A7" w:rsidRDefault="008C26DD" w:rsidP="008C26DD">
            <w:pPr>
              <w:pStyle w:val="a1"/>
              <w:numPr>
                <w:ilvl w:val="0"/>
                <w:numId w:val="8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вследствие отказа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Концедента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от своих прав по гарантии;</w:t>
            </w:r>
          </w:p>
          <w:p w14:paraId="1BD9117A" w14:textId="77777777" w:rsidR="008C26DD" w:rsidRPr="004C20A7" w:rsidRDefault="008C26DD" w:rsidP="008C26DD">
            <w:pPr>
              <w:pStyle w:val="a1"/>
              <w:numPr>
                <w:ilvl w:val="0"/>
                <w:numId w:val="8"/>
              </w:numPr>
              <w:spacing w:after="160" w:line="259" w:lineRule="auto"/>
              <w:ind w:left="403"/>
              <w:jc w:val="both"/>
              <w:rPr>
                <w:rStyle w:val="2"/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по соглашению гаранта с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Концедентом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о прекращении этого обязательства;</w:t>
            </w:r>
          </w:p>
          <w:p w14:paraId="718048F0" w14:textId="77777777" w:rsidR="008C26DD" w:rsidRPr="004C20A7" w:rsidRDefault="008C26DD" w:rsidP="00F01305">
            <w:pPr>
              <w:ind w:left="403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При этом прекращение обязательства гаранта по всем указанным выше основаниям не зависит от того, возвращена ли ему Банковская гарантия.</w:t>
            </w:r>
          </w:p>
          <w:p w14:paraId="617B144C" w14:textId="77777777" w:rsidR="008C26DD" w:rsidRPr="004C20A7" w:rsidRDefault="008C26DD" w:rsidP="008C26DD">
            <w:pPr>
              <w:pStyle w:val="a1"/>
              <w:numPr>
                <w:ilvl w:val="0"/>
                <w:numId w:val="8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вследствие возврата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Концедентом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гарантии гаранту.</w:t>
            </w:r>
          </w:p>
        </w:tc>
      </w:tr>
      <w:tr w:rsidR="008C26DD" w:rsidRPr="007C0A38" w14:paraId="6CDF9DCC" w14:textId="77777777" w:rsidTr="00F01305">
        <w:tc>
          <w:tcPr>
            <w:tcW w:w="704" w:type="dxa"/>
          </w:tcPr>
          <w:p w14:paraId="6496AE71" w14:textId="77777777" w:rsidR="008C26DD" w:rsidRPr="004C20A7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03AF0470" w14:textId="77777777"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Обязательства Концессионера, надлежащее исполнение которых обеспечивается Банковской гарантией</w:t>
            </w:r>
          </w:p>
        </w:tc>
        <w:tc>
          <w:tcPr>
            <w:tcW w:w="6372" w:type="dxa"/>
          </w:tcPr>
          <w:p w14:paraId="6C49F8ED" w14:textId="77777777" w:rsidR="008C26DD" w:rsidRPr="004C20A7" w:rsidRDefault="008C26DD" w:rsidP="00F01305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Исполнение Концессионером обязательств по Концессионному соглашению.</w:t>
            </w:r>
          </w:p>
        </w:tc>
      </w:tr>
      <w:tr w:rsidR="008C26DD" w:rsidRPr="007C0A38" w14:paraId="59097209" w14:textId="77777777" w:rsidTr="00F01305">
        <w:tc>
          <w:tcPr>
            <w:tcW w:w="704" w:type="dxa"/>
          </w:tcPr>
          <w:p w14:paraId="59B58522" w14:textId="77777777" w:rsidR="008C26DD" w:rsidRPr="004C20A7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23C14417" w14:textId="77777777"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Место рассмотрения споров по банковской гарантии</w:t>
            </w:r>
          </w:p>
        </w:tc>
        <w:tc>
          <w:tcPr>
            <w:tcW w:w="6372" w:type="dxa"/>
          </w:tcPr>
          <w:p w14:paraId="485DFEEC" w14:textId="77777777" w:rsidR="008C26DD" w:rsidRPr="004C20A7" w:rsidRDefault="008C26DD" w:rsidP="00F01305">
            <w:pPr>
              <w:jc w:val="both"/>
              <w:rPr>
                <w:rStyle w:val="2"/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Все споры, связанные с Банковской гарантий, подлежат рассмотрению в суде в соответствии с подсудностью и подведомственностью, определенными Законодательством.</w:t>
            </w:r>
          </w:p>
        </w:tc>
      </w:tr>
    </w:tbl>
    <w:p w14:paraId="07989E8F" w14:textId="77777777" w:rsidR="008C26DD" w:rsidRDefault="008C26DD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Times New Roman" w:hAnsi="Times New Roman"/>
        </w:rPr>
      </w:pPr>
    </w:p>
    <w:p w14:paraId="18DA38D3" w14:textId="77777777" w:rsidR="007C3CBD" w:rsidRPr="00A11D8B" w:rsidRDefault="007C3CBD" w:rsidP="007C3CBD">
      <w:pPr>
        <w:pStyle w:val="1"/>
        <w:numPr>
          <w:ilvl w:val="0"/>
          <w:numId w:val="0"/>
        </w:numPr>
        <w:ind w:left="709"/>
      </w:pPr>
      <w:bookmarkStart w:id="10" w:name="_Ref468704371"/>
      <w:bookmarkStart w:id="11" w:name="_Toc468892629"/>
      <w:bookmarkStart w:id="12" w:name="_Toc473692366"/>
      <w:bookmarkStart w:id="13" w:name="_Toc476857547"/>
      <w:bookmarkStart w:id="14" w:name="_Toc350977281"/>
      <w:bookmarkStart w:id="15" w:name="_Toc481181852"/>
      <w:bookmarkStart w:id="16" w:name="_Toc477970512"/>
      <w:bookmarkStart w:id="17" w:name="_Toc485514158"/>
      <w:bookmarkStart w:id="18" w:name="_Toc484822135"/>
      <w:bookmarkStart w:id="19" w:name="_Hlk535325650"/>
      <w:bookmarkEnd w:id="0"/>
      <w:bookmarkEnd w:id="1"/>
      <w:bookmarkEnd w:id="2"/>
      <w:bookmarkEnd w:id="3"/>
      <w:bookmarkEnd w:id="4"/>
      <w:bookmarkEnd w:id="5"/>
      <w:bookmarkEnd w:id="6"/>
      <w:r w:rsidRPr="00A11D8B">
        <w:t>АДРЕСА, РЕКВИЗИТЫ И ПОДПИСИ СТОРОН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8673"/>
      </w:tblGrid>
      <w:tr w:rsidR="007C3CBD" w:rsidRPr="00A11D8B" w14:paraId="77612A80" w14:textId="77777777" w:rsidTr="00BB676E">
        <w:tc>
          <w:tcPr>
            <w:tcW w:w="8896" w:type="dxa"/>
          </w:tcPr>
          <w:p w14:paraId="06C2B9DE" w14:textId="77777777" w:rsidR="007C3CBD" w:rsidRPr="00BA24DA" w:rsidRDefault="007C3CBD" w:rsidP="00BB676E">
            <w:pPr>
              <w:spacing w:after="200"/>
              <w:ind w:left="2126" w:hanging="2092"/>
              <w:jc w:val="both"/>
              <w:rPr>
                <w:rFonts w:ascii="Times New Roman" w:hAnsi="Times New Roman"/>
                <w:b/>
              </w:rPr>
            </w:pPr>
            <w:r w:rsidRPr="00BA24DA">
              <w:rPr>
                <w:rFonts w:ascii="Times New Roman" w:hAnsi="Times New Roman"/>
                <w:b/>
              </w:rPr>
              <w:t>Самарская область</w:t>
            </w:r>
          </w:p>
        </w:tc>
      </w:tr>
      <w:tr w:rsidR="007C3CBD" w:rsidRPr="00A11D8B" w14:paraId="06B120E8" w14:textId="77777777" w:rsidTr="00BB676E">
        <w:tc>
          <w:tcPr>
            <w:tcW w:w="8896" w:type="dxa"/>
          </w:tcPr>
          <w:p w14:paraId="65A85AD2" w14:textId="77777777" w:rsidR="007C3CBD" w:rsidRPr="00DF0A6C" w:rsidRDefault="007C3CBD" w:rsidP="00BB676E">
            <w:pPr>
              <w:spacing w:after="200"/>
              <w:ind w:left="34"/>
              <w:jc w:val="both"/>
              <w:rPr>
                <w:rFonts w:ascii="Times New Roman" w:hAnsi="Times New Roman"/>
              </w:rPr>
            </w:pPr>
            <w:r w:rsidRPr="00DF0A6C">
              <w:rPr>
                <w:rFonts w:ascii="Times New Roman" w:hAnsi="Times New Roman"/>
              </w:rPr>
              <w:t>[●]</w:t>
            </w:r>
          </w:p>
        </w:tc>
      </w:tr>
      <w:tr w:rsidR="007C3CBD" w:rsidRPr="00A11D8B" w14:paraId="6A1AFDCC" w14:textId="77777777" w:rsidTr="00BB676E">
        <w:tc>
          <w:tcPr>
            <w:tcW w:w="8896" w:type="dxa"/>
          </w:tcPr>
          <w:p w14:paraId="54480600" w14:textId="77777777" w:rsidR="007C3CBD" w:rsidRPr="002E37B2" w:rsidRDefault="007C3CBD" w:rsidP="00BB676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ind w:left="34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A11D8B">
              <w:rPr>
                <w:rFonts w:ascii="Times New Roman" w:hAnsi="Times New Roman"/>
                <w:b/>
              </w:rPr>
              <w:lastRenderedPageBreak/>
              <w:t>Концедент</w:t>
            </w:r>
            <w:proofErr w:type="spellEnd"/>
          </w:p>
        </w:tc>
      </w:tr>
      <w:tr w:rsidR="007C3CBD" w:rsidRPr="00A11D8B" w14:paraId="6D650255" w14:textId="77777777" w:rsidTr="00BB676E">
        <w:tc>
          <w:tcPr>
            <w:tcW w:w="8896" w:type="dxa"/>
          </w:tcPr>
          <w:p w14:paraId="2887661C" w14:textId="77777777" w:rsidR="007C3CBD" w:rsidRPr="00A11D8B" w:rsidRDefault="007C3CBD" w:rsidP="00BB676E">
            <w:pPr>
              <w:spacing w:after="200"/>
              <w:ind w:left="34"/>
              <w:jc w:val="both"/>
              <w:rPr>
                <w:rFonts w:ascii="Times New Roman" w:hAnsi="Times New Roman"/>
              </w:rPr>
            </w:pPr>
            <w:r w:rsidRPr="00DF0A6C">
              <w:rPr>
                <w:rFonts w:ascii="Times New Roman" w:hAnsi="Times New Roman"/>
              </w:rPr>
              <w:t>[●]</w:t>
            </w:r>
          </w:p>
        </w:tc>
      </w:tr>
      <w:tr w:rsidR="007C3CBD" w:rsidRPr="00A11D8B" w14:paraId="36BC7AEE" w14:textId="77777777" w:rsidTr="00BB676E">
        <w:tc>
          <w:tcPr>
            <w:tcW w:w="8896" w:type="dxa"/>
          </w:tcPr>
          <w:p w14:paraId="57175FA1" w14:textId="77777777" w:rsidR="007C3CBD" w:rsidRPr="002E37B2" w:rsidRDefault="007C3CBD" w:rsidP="00BB676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ind w:left="34"/>
              <w:jc w:val="both"/>
              <w:rPr>
                <w:rFonts w:ascii="Times New Roman" w:hAnsi="Times New Roman"/>
                <w:b/>
              </w:rPr>
            </w:pPr>
            <w:r w:rsidRPr="00A11D8B">
              <w:rPr>
                <w:rFonts w:ascii="Times New Roman" w:hAnsi="Times New Roman"/>
                <w:b/>
              </w:rPr>
              <w:t>Концессионер</w:t>
            </w:r>
          </w:p>
        </w:tc>
      </w:tr>
      <w:tr w:rsidR="007C3CBD" w:rsidRPr="00A11D8B" w14:paraId="5538BB53" w14:textId="77777777" w:rsidTr="00BB676E">
        <w:tc>
          <w:tcPr>
            <w:tcW w:w="8896" w:type="dxa"/>
          </w:tcPr>
          <w:p w14:paraId="77C4D553" w14:textId="77777777" w:rsidR="007C3CBD" w:rsidRPr="006B46CD" w:rsidRDefault="007C3CBD" w:rsidP="00BB676E">
            <w:pPr>
              <w:spacing w:after="200"/>
              <w:ind w:left="34"/>
              <w:contextualSpacing/>
              <w:jc w:val="both"/>
              <w:rPr>
                <w:rFonts w:ascii="Times New Roman" w:hAnsi="Times New Roman"/>
              </w:rPr>
            </w:pPr>
            <w:r w:rsidRPr="00DF0A6C">
              <w:rPr>
                <w:rFonts w:ascii="Times New Roman" w:hAnsi="Times New Roman"/>
              </w:rPr>
              <w:t>[●]</w:t>
            </w:r>
          </w:p>
        </w:tc>
      </w:tr>
      <w:bookmarkEnd w:id="19"/>
    </w:tbl>
    <w:p w14:paraId="09E824FB" w14:textId="2BB6C52F" w:rsidR="00CA0DBA" w:rsidRDefault="00CA0DBA" w:rsidP="00082C1E"/>
    <w:sectPr w:rsidR="00CA0DBA" w:rsidSect="002E795E">
      <w:pgSz w:w="11900" w:h="16840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30ACB"/>
    <w:multiLevelType w:val="hybridMultilevel"/>
    <w:tmpl w:val="A3661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93E49"/>
    <w:multiLevelType w:val="hybridMultilevel"/>
    <w:tmpl w:val="614044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6044E"/>
    <w:multiLevelType w:val="hybridMultilevel"/>
    <w:tmpl w:val="928ECA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46CF2"/>
    <w:multiLevelType w:val="hybridMultilevel"/>
    <w:tmpl w:val="B504D754"/>
    <w:lvl w:ilvl="0" w:tplc="5B426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B26D1"/>
    <w:multiLevelType w:val="hybridMultilevel"/>
    <w:tmpl w:val="ACBAD996"/>
    <w:lvl w:ilvl="0" w:tplc="C714BEC8">
      <w:numFmt w:val="bullet"/>
      <w:lvlText w:val="-"/>
      <w:lvlJc w:val="left"/>
      <w:pPr>
        <w:ind w:left="1026" w:hanging="6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5444845"/>
    <w:multiLevelType w:val="hybridMultilevel"/>
    <w:tmpl w:val="654A5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4D6E34"/>
    <w:multiLevelType w:val="multilevel"/>
    <w:tmpl w:val="D2129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7" w15:restartNumberingAfterBreak="0">
    <w:nsid w:val="6BEB687E"/>
    <w:multiLevelType w:val="multilevel"/>
    <w:tmpl w:val="F7F4EAD8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1000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a"/>
      <w:lvlText w:val="(%3)"/>
      <w:lvlJc w:val="left"/>
      <w:pPr>
        <w:ind w:left="1781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3"/>
      <w:lvlText w:val="(%4)"/>
      <w:lvlJc w:val="left"/>
      <w:pPr>
        <w:ind w:left="20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8" w15:restartNumberingAfterBreak="0">
    <w:nsid w:val="763A53D8"/>
    <w:multiLevelType w:val="hybridMultilevel"/>
    <w:tmpl w:val="D706A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01"/>
    <w:rsid w:val="000152A6"/>
    <w:rsid w:val="00082C1E"/>
    <w:rsid w:val="000C3F67"/>
    <w:rsid w:val="000D25E5"/>
    <w:rsid w:val="00140AB4"/>
    <w:rsid w:val="001542D5"/>
    <w:rsid w:val="00160FBE"/>
    <w:rsid w:val="00181E79"/>
    <w:rsid w:val="001A7E90"/>
    <w:rsid w:val="001D4A10"/>
    <w:rsid w:val="001E1796"/>
    <w:rsid w:val="00217B42"/>
    <w:rsid w:val="00263CD1"/>
    <w:rsid w:val="0027296D"/>
    <w:rsid w:val="00291983"/>
    <w:rsid w:val="002B156C"/>
    <w:rsid w:val="002B718B"/>
    <w:rsid w:val="002C3199"/>
    <w:rsid w:val="002E795E"/>
    <w:rsid w:val="00310698"/>
    <w:rsid w:val="00320C8D"/>
    <w:rsid w:val="00347CF7"/>
    <w:rsid w:val="003515BA"/>
    <w:rsid w:val="00374AC7"/>
    <w:rsid w:val="003D3044"/>
    <w:rsid w:val="003E6A96"/>
    <w:rsid w:val="00432DEA"/>
    <w:rsid w:val="00494656"/>
    <w:rsid w:val="004B0736"/>
    <w:rsid w:val="004B26A9"/>
    <w:rsid w:val="004F3023"/>
    <w:rsid w:val="00527730"/>
    <w:rsid w:val="005A25DF"/>
    <w:rsid w:val="005D364B"/>
    <w:rsid w:val="005E3E9C"/>
    <w:rsid w:val="005F7CFA"/>
    <w:rsid w:val="00623908"/>
    <w:rsid w:val="00684C01"/>
    <w:rsid w:val="00691C51"/>
    <w:rsid w:val="006C3A58"/>
    <w:rsid w:val="006D3070"/>
    <w:rsid w:val="006D32E1"/>
    <w:rsid w:val="006F556F"/>
    <w:rsid w:val="0070168B"/>
    <w:rsid w:val="00703A12"/>
    <w:rsid w:val="007106FF"/>
    <w:rsid w:val="00727DB5"/>
    <w:rsid w:val="00737DEA"/>
    <w:rsid w:val="00756D07"/>
    <w:rsid w:val="00774770"/>
    <w:rsid w:val="007B0E7F"/>
    <w:rsid w:val="007C3CBD"/>
    <w:rsid w:val="007D6A54"/>
    <w:rsid w:val="008723C5"/>
    <w:rsid w:val="008B6445"/>
    <w:rsid w:val="008C26DD"/>
    <w:rsid w:val="008D1B5D"/>
    <w:rsid w:val="00927A17"/>
    <w:rsid w:val="00981F4D"/>
    <w:rsid w:val="009E6F60"/>
    <w:rsid w:val="00A708E9"/>
    <w:rsid w:val="00A73E96"/>
    <w:rsid w:val="00A86EB3"/>
    <w:rsid w:val="00A94583"/>
    <w:rsid w:val="00AB390F"/>
    <w:rsid w:val="00AE2079"/>
    <w:rsid w:val="00AF0B59"/>
    <w:rsid w:val="00B009D5"/>
    <w:rsid w:val="00B02DCE"/>
    <w:rsid w:val="00B1382C"/>
    <w:rsid w:val="00B2445C"/>
    <w:rsid w:val="00B73F98"/>
    <w:rsid w:val="00B86E34"/>
    <w:rsid w:val="00BF1527"/>
    <w:rsid w:val="00C03511"/>
    <w:rsid w:val="00C30129"/>
    <w:rsid w:val="00C31E01"/>
    <w:rsid w:val="00C453B5"/>
    <w:rsid w:val="00C528D1"/>
    <w:rsid w:val="00C5608B"/>
    <w:rsid w:val="00C74737"/>
    <w:rsid w:val="00C90611"/>
    <w:rsid w:val="00CA0DBA"/>
    <w:rsid w:val="00CA6F03"/>
    <w:rsid w:val="00CC1BB9"/>
    <w:rsid w:val="00CC697F"/>
    <w:rsid w:val="00D15AD2"/>
    <w:rsid w:val="00DB4447"/>
    <w:rsid w:val="00DF055E"/>
    <w:rsid w:val="00DF20B0"/>
    <w:rsid w:val="00E03C13"/>
    <w:rsid w:val="00EE54F2"/>
    <w:rsid w:val="00EF7CD6"/>
    <w:rsid w:val="00F74073"/>
    <w:rsid w:val="00FC6E87"/>
    <w:rsid w:val="00FF22E6"/>
    <w:rsid w:val="00FF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ABB84"/>
  <w14:defaultImageDpi w14:val="300"/>
  <w15:docId w15:val="{B324B5CF-B628-4513-BA79-F8A582BB4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1"/>
    <w:next w:val="a0"/>
    <w:link w:val="10"/>
    <w:uiPriority w:val="9"/>
    <w:qFormat/>
    <w:rsid w:val="007C3CBD"/>
    <w:pPr>
      <w:keepNext/>
      <w:numPr>
        <w:numId w:val="9"/>
      </w:numPr>
      <w:spacing w:before="240" w:after="200"/>
      <w:ind w:left="709" w:hanging="709"/>
      <w:contextualSpacing w:val="0"/>
      <w:jc w:val="both"/>
      <w:outlineLvl w:val="0"/>
    </w:pPr>
    <w:rPr>
      <w:rFonts w:ascii="Times New Roman" w:eastAsia="Calibri" w:hAnsi="Times New Roman" w:cs="Times New Roman"/>
      <w:b/>
      <w:lang w:eastAsia="en-US"/>
    </w:rPr>
  </w:style>
  <w:style w:type="paragraph" w:styleId="3">
    <w:name w:val="heading 3"/>
    <w:basedOn w:val="a"/>
    <w:next w:val="a0"/>
    <w:link w:val="30"/>
    <w:uiPriority w:val="9"/>
    <w:unhideWhenUsed/>
    <w:qFormat/>
    <w:rsid w:val="007C3CBD"/>
    <w:pPr>
      <w:numPr>
        <w:ilvl w:val="3"/>
      </w:numPr>
      <w:ind w:left="1985" w:hanging="567"/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List Paragraph"/>
    <w:basedOn w:val="a0"/>
    <w:link w:val="a5"/>
    <w:uiPriority w:val="34"/>
    <w:qFormat/>
    <w:rsid w:val="00B009D5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2B15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B15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D25E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3E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8">
    <w:name w:val="Название приложения"/>
    <w:basedOn w:val="a0"/>
    <w:qFormat/>
    <w:rsid w:val="00CA0DBA"/>
    <w:pPr>
      <w:spacing w:after="160" w:line="259" w:lineRule="auto"/>
      <w:jc w:val="center"/>
    </w:pPr>
    <w:rPr>
      <w:rFonts w:ascii="Times New Roman" w:eastAsia="Calibri" w:hAnsi="Times New Roman" w:cs="Times New Roman"/>
      <w:b/>
      <w:lang w:eastAsia="en-US"/>
    </w:rPr>
  </w:style>
  <w:style w:type="character" w:customStyle="1" w:styleId="a5">
    <w:name w:val="Абзац списка Знак"/>
    <w:link w:val="a1"/>
    <w:uiPriority w:val="99"/>
    <w:locked/>
    <w:rsid w:val="00CA0DBA"/>
  </w:style>
  <w:style w:type="table" w:customStyle="1" w:styleId="21">
    <w:name w:val="Сетка таблицы21"/>
    <w:uiPriority w:val="99"/>
    <w:rsid w:val="008C26DD"/>
    <w:rPr>
      <w:rFonts w:ascii="Calibri" w:eastAsia="MS Mincho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2"/>
    <w:link w:val="20"/>
    <w:uiPriority w:val="99"/>
    <w:rsid w:val="008C26DD"/>
    <w:rPr>
      <w:rFonts w:ascii="Arial" w:hAnsi="Arial" w:cs="Arial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0"/>
    <w:link w:val="2"/>
    <w:uiPriority w:val="99"/>
    <w:rsid w:val="008C26DD"/>
    <w:pPr>
      <w:widowControl w:val="0"/>
      <w:shd w:val="clear" w:color="auto" w:fill="FFFFFF"/>
      <w:spacing w:before="420" w:line="202" w:lineRule="exact"/>
      <w:jc w:val="both"/>
    </w:pPr>
    <w:rPr>
      <w:rFonts w:ascii="Arial" w:hAnsi="Arial" w:cs="Arial"/>
      <w:sz w:val="16"/>
      <w:szCs w:val="16"/>
    </w:rPr>
  </w:style>
  <w:style w:type="character" w:customStyle="1" w:styleId="10">
    <w:name w:val="Заголовок 1 Знак"/>
    <w:basedOn w:val="a2"/>
    <w:link w:val="1"/>
    <w:uiPriority w:val="9"/>
    <w:rsid w:val="007C3CBD"/>
    <w:rPr>
      <w:rFonts w:ascii="Times New Roman" w:eastAsia="Calibri" w:hAnsi="Times New Roman" w:cs="Times New Roman"/>
      <w:b/>
      <w:lang w:eastAsia="en-US"/>
    </w:rPr>
  </w:style>
  <w:style w:type="character" w:customStyle="1" w:styleId="30">
    <w:name w:val="Заголовок 3 Знак"/>
    <w:basedOn w:val="a2"/>
    <w:link w:val="3"/>
    <w:uiPriority w:val="9"/>
    <w:rsid w:val="007C3CBD"/>
    <w:rPr>
      <w:rFonts w:ascii="Times New Roman" w:eastAsia="Calibri" w:hAnsi="Times New Roman" w:cs="Times New Roman"/>
      <w:lang w:eastAsia="en-US"/>
    </w:rPr>
  </w:style>
  <w:style w:type="paragraph" w:customStyle="1" w:styleId="a">
    <w:name w:val="Третий уровень (a)"/>
    <w:basedOn w:val="11"/>
    <w:qFormat/>
    <w:rsid w:val="007C3CBD"/>
    <w:pPr>
      <w:numPr>
        <w:ilvl w:val="2"/>
      </w:numPr>
    </w:pPr>
  </w:style>
  <w:style w:type="paragraph" w:customStyle="1" w:styleId="11">
    <w:name w:val="Второй уровень (1.1.)"/>
    <w:basedOn w:val="1"/>
    <w:rsid w:val="007C3CBD"/>
    <w:pPr>
      <w:keepNext w:val="0"/>
      <w:numPr>
        <w:ilvl w:val="1"/>
      </w:numPr>
      <w:ind w:left="851" w:hanging="851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Менеджмент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Улыбин</dc:creator>
  <cp:keywords/>
  <dc:description/>
  <cp:lastModifiedBy>KSK KSK</cp:lastModifiedBy>
  <cp:revision>2</cp:revision>
  <cp:lastPrinted>2018-09-26T13:10:00Z</cp:lastPrinted>
  <dcterms:created xsi:type="dcterms:W3CDTF">2019-03-01T08:39:00Z</dcterms:created>
  <dcterms:modified xsi:type="dcterms:W3CDTF">2019-03-01T08:39:00Z</dcterms:modified>
</cp:coreProperties>
</file>